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B2DF" w14:textId="77777777" w:rsidR="00B623FE" w:rsidRPr="00182B3E" w:rsidRDefault="00B623FE" w:rsidP="00B960DE">
      <w:pPr>
        <w:pStyle w:val="Titre1"/>
        <w:sectPr w:rsidR="00B623FE" w:rsidRPr="00182B3E" w:rsidSect="00865666">
          <w:headerReference w:type="default" r:id="rId8"/>
          <w:footerReference w:type="even" r:id="rId9"/>
          <w:type w:val="continuous"/>
          <w:pgSz w:w="11910" w:h="16840"/>
          <w:pgMar w:top="961" w:right="964" w:bottom="964" w:left="964" w:header="720" w:footer="720" w:gutter="0"/>
          <w:cols w:space="720"/>
        </w:sectPr>
      </w:pPr>
    </w:p>
    <w:p w14:paraId="59EE0ADF" w14:textId="77777777" w:rsidR="000924D0" w:rsidRPr="00182B3E" w:rsidRDefault="000924D0" w:rsidP="00B960DE">
      <w:pPr>
        <w:pStyle w:val="Titre1"/>
        <w:rPr>
          <w:noProof/>
        </w:rPr>
      </w:pPr>
    </w:p>
    <w:p w14:paraId="1C240294" w14:textId="3E8FA1CA" w:rsidR="0079276E" w:rsidRPr="00182B3E" w:rsidRDefault="0079276E" w:rsidP="00B960DE">
      <w:pPr>
        <w:pStyle w:val="Titre1"/>
        <w:rPr>
          <w:noProof/>
        </w:rPr>
      </w:pPr>
    </w:p>
    <w:p w14:paraId="7DF7AEC0" w14:textId="77777777" w:rsidR="00B960DE" w:rsidRPr="00182B3E" w:rsidRDefault="00B960DE" w:rsidP="00B960DE">
      <w:pPr>
        <w:pStyle w:val="Titre1"/>
        <w:rPr>
          <w:szCs w:val="20"/>
        </w:rPr>
      </w:pPr>
      <w:r w:rsidRPr="00182B3E">
        <w:rPr>
          <w:szCs w:val="20"/>
        </w:rPr>
        <w:t>Audio-guide</w:t>
      </w:r>
      <w:r w:rsidRPr="00182B3E">
        <w:rPr>
          <w:spacing w:val="-2"/>
          <w:szCs w:val="20"/>
        </w:rPr>
        <w:t xml:space="preserve"> </w:t>
      </w:r>
      <w:r w:rsidRPr="00182B3E">
        <w:rPr>
          <w:szCs w:val="20"/>
        </w:rPr>
        <w:t>exposition</w:t>
      </w:r>
    </w:p>
    <w:p w14:paraId="21F7EC12" w14:textId="77777777" w:rsidR="00B960DE" w:rsidRPr="00182B3E" w:rsidRDefault="00B960DE" w:rsidP="00B960DE">
      <w:pPr>
        <w:jc w:val="center"/>
        <w:rPr>
          <w:b/>
          <w:bCs/>
          <w:lang w:val="fr-FR"/>
        </w:rPr>
      </w:pPr>
      <w:r w:rsidRPr="00182B3E">
        <w:rPr>
          <w:b/>
          <w:bCs/>
          <w:lang w:val="fr-FR"/>
        </w:rPr>
        <w:t>« La parole de l’État, miroir des Époques »</w:t>
      </w:r>
    </w:p>
    <w:p w14:paraId="273E9F72" w14:textId="5F58A9A8" w:rsidR="00B960DE" w:rsidRPr="00182B3E" w:rsidRDefault="00B960DE" w:rsidP="00B960DE">
      <w:pPr>
        <w:pStyle w:val="Titre1"/>
        <w:rPr>
          <w:noProof/>
        </w:rPr>
      </w:pPr>
    </w:p>
    <w:p w14:paraId="6771898A" w14:textId="09B66879" w:rsidR="00B960DE" w:rsidRPr="00182B3E" w:rsidRDefault="00B960DE" w:rsidP="00B960DE">
      <w:pPr>
        <w:pStyle w:val="Corpsdetexte"/>
      </w:pPr>
    </w:p>
    <w:p w14:paraId="35D2AEAB" w14:textId="66B5668B" w:rsidR="00B960DE" w:rsidRPr="00182B3E" w:rsidRDefault="00B960DE" w:rsidP="00B960DE">
      <w:pPr>
        <w:rPr>
          <w:b/>
          <w:bCs/>
          <w:color w:val="000091" w:themeColor="background2"/>
          <w:lang w:val="fr-FR"/>
        </w:rPr>
      </w:pPr>
      <w:r w:rsidRPr="00182B3E">
        <w:rPr>
          <w:b/>
          <w:bCs/>
          <w:color w:val="000091" w:themeColor="background2"/>
          <w:lang w:val="fr-FR"/>
        </w:rPr>
        <w:t>Audioguide n°</w:t>
      </w:r>
      <w:r w:rsidR="00D103A3">
        <w:rPr>
          <w:b/>
          <w:bCs/>
          <w:color w:val="000091" w:themeColor="background2"/>
          <w:lang w:val="fr-FR"/>
        </w:rPr>
        <w:t>3</w:t>
      </w:r>
    </w:p>
    <w:p w14:paraId="2C839B05" w14:textId="77777777" w:rsidR="002C3085" w:rsidRPr="00182B3E" w:rsidRDefault="002C3085" w:rsidP="00B960DE">
      <w:pPr>
        <w:pStyle w:val="Titre1"/>
      </w:pPr>
    </w:p>
    <w:p w14:paraId="5780918F" w14:textId="31B17B16" w:rsidR="00182B3E" w:rsidRPr="00D103A3" w:rsidRDefault="00D103A3" w:rsidP="00182B3E">
      <w:pPr>
        <w:rPr>
          <w:b/>
          <w:bCs/>
          <w:sz w:val="20"/>
          <w:szCs w:val="20"/>
          <w:lang w:val="fr-FR"/>
        </w:rPr>
      </w:pPr>
      <w:r w:rsidRPr="00D103A3">
        <w:rPr>
          <w:b/>
          <w:bCs/>
          <w:sz w:val="20"/>
          <w:szCs w:val="20"/>
          <w:lang w:val="fr-FR"/>
        </w:rPr>
        <w:t>Instabilités politiques et guerres des signes</w:t>
      </w:r>
    </w:p>
    <w:p w14:paraId="7A5CECFE" w14:textId="77777777" w:rsidR="00182B3E" w:rsidRPr="00D103A3" w:rsidRDefault="00182B3E" w:rsidP="00182B3E">
      <w:pPr>
        <w:rPr>
          <w:sz w:val="20"/>
          <w:szCs w:val="20"/>
          <w:lang w:val="fr-FR"/>
        </w:rPr>
      </w:pPr>
    </w:p>
    <w:p w14:paraId="6ACBB577" w14:textId="77777777" w:rsidR="00D103A3" w:rsidRPr="00D103A3" w:rsidRDefault="00D103A3" w:rsidP="00D103A3">
      <w:pPr>
        <w:rPr>
          <w:sz w:val="20"/>
          <w:szCs w:val="20"/>
          <w:lang w:val="fr-FR"/>
        </w:rPr>
      </w:pPr>
      <w:r w:rsidRPr="00D103A3">
        <w:rPr>
          <w:sz w:val="20"/>
          <w:szCs w:val="20"/>
          <w:lang w:val="fr-FR"/>
        </w:rPr>
        <w:t>Les signes de l’État n’ont pas toujours été les mêmes, l’instabilité politique faisant tanguer les représentations officielles.</w:t>
      </w:r>
    </w:p>
    <w:p w14:paraId="23FD9310" w14:textId="77777777" w:rsidR="00D103A3" w:rsidRPr="00D103A3" w:rsidRDefault="00D103A3" w:rsidP="00D103A3">
      <w:pPr>
        <w:rPr>
          <w:sz w:val="20"/>
          <w:szCs w:val="20"/>
          <w:lang w:val="fr-FR"/>
        </w:rPr>
      </w:pPr>
    </w:p>
    <w:p w14:paraId="51FF97F7" w14:textId="77777777" w:rsidR="00D103A3" w:rsidRPr="00D103A3" w:rsidRDefault="00D103A3" w:rsidP="00D103A3">
      <w:pPr>
        <w:rPr>
          <w:sz w:val="20"/>
          <w:szCs w:val="20"/>
          <w:lang w:val="fr-FR"/>
        </w:rPr>
      </w:pPr>
      <w:r w:rsidRPr="00D103A3">
        <w:rPr>
          <w:sz w:val="20"/>
          <w:szCs w:val="20"/>
          <w:lang w:val="fr-FR"/>
        </w:rPr>
        <w:t>Insurrections royalistes, guerres napoléoniennes, restauration de la monarchie, Commune de Paris, Première Guerre mondiale, Occupation… De la fin de la Révolution française en 1799, à la fin de la Seconde Guerre mondiale en 1945, la France traverse nombre de périodes de conflit et d’instabilité.</w:t>
      </w:r>
    </w:p>
    <w:p w14:paraId="5575BFB0" w14:textId="77777777" w:rsidR="00D103A3" w:rsidRPr="00D103A3" w:rsidRDefault="00D103A3" w:rsidP="00D103A3">
      <w:pPr>
        <w:rPr>
          <w:sz w:val="20"/>
          <w:szCs w:val="20"/>
          <w:lang w:val="fr-FR"/>
        </w:rPr>
      </w:pPr>
    </w:p>
    <w:p w14:paraId="21479E6D" w14:textId="77777777" w:rsidR="00D103A3" w:rsidRPr="00D103A3" w:rsidRDefault="00D103A3" w:rsidP="00D103A3">
      <w:pPr>
        <w:rPr>
          <w:sz w:val="20"/>
          <w:szCs w:val="20"/>
          <w:lang w:val="fr-FR"/>
        </w:rPr>
      </w:pPr>
      <w:r w:rsidRPr="00D103A3">
        <w:rPr>
          <w:sz w:val="20"/>
          <w:szCs w:val="20"/>
          <w:lang w:val="fr-FR"/>
        </w:rPr>
        <w:t>Dans ces périodes où la société française se fracture, on assiste également à un affrontement entre les représentations officielles et les représentations populaires. Certains symboles en sortent renforcés et sont dès lors adoptés, avec plus ou moins de longévité.</w:t>
      </w:r>
    </w:p>
    <w:p w14:paraId="2B53A9B7" w14:textId="32C32DD7" w:rsidR="00D103A3" w:rsidRPr="00D103A3" w:rsidRDefault="00D103A3" w:rsidP="00D103A3">
      <w:pPr>
        <w:rPr>
          <w:sz w:val="20"/>
          <w:szCs w:val="20"/>
          <w:lang w:val="fr-FR"/>
        </w:rPr>
      </w:pPr>
      <w:r w:rsidRPr="00D103A3">
        <w:rPr>
          <w:i/>
          <w:iCs/>
          <w:sz w:val="20"/>
          <w:szCs w:val="20"/>
          <w:lang w:val="fr-FR"/>
        </w:rPr>
        <w:t>« Les luttes politiques se sont incarnées sous la Révolution en une guerre des signes que le XIX e siècle a prolongé. »</w:t>
      </w:r>
      <w:r>
        <w:rPr>
          <w:sz w:val="20"/>
          <w:szCs w:val="20"/>
          <w:lang w:val="fr-FR"/>
        </w:rPr>
        <w:t xml:space="preserve"> </w:t>
      </w:r>
      <w:r w:rsidRPr="00D103A3">
        <w:rPr>
          <w:sz w:val="20"/>
          <w:szCs w:val="20"/>
          <w:lang w:val="fr-FR"/>
        </w:rPr>
        <w:t xml:space="preserve">(E. </w:t>
      </w:r>
      <w:proofErr w:type="spellStart"/>
      <w:r w:rsidRPr="00D103A3">
        <w:rPr>
          <w:sz w:val="20"/>
          <w:szCs w:val="20"/>
          <w:lang w:val="fr-FR"/>
        </w:rPr>
        <w:t>Fureix</w:t>
      </w:r>
      <w:proofErr w:type="spellEnd"/>
      <w:r w:rsidRPr="00D103A3">
        <w:rPr>
          <w:sz w:val="20"/>
          <w:szCs w:val="20"/>
          <w:lang w:val="fr-FR"/>
        </w:rPr>
        <w:t>)</w:t>
      </w:r>
    </w:p>
    <w:p w14:paraId="43A2A7F3" w14:textId="77777777" w:rsidR="00D103A3" w:rsidRPr="00D103A3" w:rsidRDefault="00D103A3" w:rsidP="00D103A3">
      <w:pPr>
        <w:rPr>
          <w:sz w:val="20"/>
          <w:szCs w:val="20"/>
          <w:lang w:val="fr-FR"/>
        </w:rPr>
      </w:pPr>
    </w:p>
    <w:p w14:paraId="5211E048" w14:textId="1A8A2AE7" w:rsidR="00D103A3" w:rsidRPr="00D103A3" w:rsidRDefault="00D103A3" w:rsidP="00D103A3">
      <w:pPr>
        <w:rPr>
          <w:b/>
          <w:bCs/>
          <w:sz w:val="20"/>
          <w:szCs w:val="20"/>
          <w:lang w:val="fr-FR"/>
        </w:rPr>
      </w:pPr>
      <w:r w:rsidRPr="00D103A3">
        <w:rPr>
          <w:b/>
          <w:bCs/>
          <w:sz w:val="20"/>
          <w:szCs w:val="20"/>
          <w:lang w:val="fr-FR"/>
        </w:rPr>
        <w:t>La troisième république voit rouge</w:t>
      </w:r>
    </w:p>
    <w:p w14:paraId="12D5FD2E" w14:textId="77777777" w:rsidR="00D103A3" w:rsidRPr="00D103A3" w:rsidRDefault="00D103A3" w:rsidP="00D103A3">
      <w:pPr>
        <w:rPr>
          <w:sz w:val="20"/>
          <w:szCs w:val="20"/>
          <w:lang w:val="fr-FR"/>
        </w:rPr>
      </w:pPr>
      <w:r w:rsidRPr="00D103A3">
        <w:rPr>
          <w:sz w:val="20"/>
          <w:szCs w:val="20"/>
          <w:lang w:val="fr-FR"/>
        </w:rPr>
        <w:t xml:space="preserve">Sous la Troisième République, « le conflit symbolique est d’abord éveillé par la concurrence entre deux visions de la République, modérée ou démocratique et sociale » (E. </w:t>
      </w:r>
      <w:proofErr w:type="spellStart"/>
      <w:r w:rsidRPr="00D103A3">
        <w:rPr>
          <w:sz w:val="20"/>
          <w:szCs w:val="20"/>
          <w:lang w:val="fr-FR"/>
        </w:rPr>
        <w:t>Fureix</w:t>
      </w:r>
      <w:proofErr w:type="spellEnd"/>
      <w:r w:rsidRPr="00D103A3">
        <w:rPr>
          <w:sz w:val="20"/>
          <w:szCs w:val="20"/>
          <w:lang w:val="fr-FR"/>
        </w:rPr>
        <w:t>).</w:t>
      </w:r>
    </w:p>
    <w:p w14:paraId="365E8B14" w14:textId="77777777" w:rsidR="00D103A3" w:rsidRPr="00D103A3" w:rsidRDefault="00D103A3" w:rsidP="00D103A3">
      <w:pPr>
        <w:rPr>
          <w:sz w:val="20"/>
          <w:szCs w:val="20"/>
          <w:lang w:val="fr-FR"/>
        </w:rPr>
      </w:pPr>
      <w:r w:rsidRPr="00D103A3">
        <w:rPr>
          <w:sz w:val="20"/>
          <w:szCs w:val="20"/>
          <w:lang w:val="fr-FR"/>
        </w:rPr>
        <w:t>Cette division symbolique est illustrée par le dessin « Les Deux Républiques » d’Alfred Le Petit. Le camp « de l’ordre » va s’imposer et ce dernier va faire la chasse aux signes « rouges », aux références directes à la Révolution française.</w:t>
      </w:r>
    </w:p>
    <w:p w14:paraId="640A4F09" w14:textId="77777777" w:rsidR="00D103A3" w:rsidRPr="00D103A3" w:rsidRDefault="00D103A3" w:rsidP="00D103A3">
      <w:pPr>
        <w:rPr>
          <w:sz w:val="20"/>
          <w:szCs w:val="20"/>
          <w:lang w:val="fr-FR"/>
        </w:rPr>
      </w:pPr>
    </w:p>
    <w:p w14:paraId="7A870520" w14:textId="77D09493" w:rsidR="00D103A3" w:rsidRPr="00D103A3" w:rsidRDefault="00D103A3" w:rsidP="00D103A3">
      <w:pPr>
        <w:rPr>
          <w:b/>
          <w:bCs/>
          <w:sz w:val="20"/>
          <w:szCs w:val="20"/>
          <w:lang w:val="fr-FR"/>
        </w:rPr>
      </w:pPr>
      <w:r w:rsidRPr="00D103A3">
        <w:rPr>
          <w:b/>
          <w:bCs/>
          <w:sz w:val="20"/>
          <w:szCs w:val="20"/>
          <w:lang w:val="fr-FR"/>
        </w:rPr>
        <w:t>Francisque contre croix de lorraine</w:t>
      </w:r>
    </w:p>
    <w:p w14:paraId="32652398" w14:textId="17E0B37B" w:rsidR="00D103A3" w:rsidRPr="00D103A3" w:rsidRDefault="00D103A3" w:rsidP="00D103A3">
      <w:pPr>
        <w:rPr>
          <w:sz w:val="20"/>
          <w:szCs w:val="20"/>
          <w:lang w:val="fr-FR"/>
        </w:rPr>
      </w:pPr>
      <w:r w:rsidRPr="00D103A3">
        <w:rPr>
          <w:sz w:val="20"/>
          <w:szCs w:val="20"/>
          <w:lang w:val="fr-FR"/>
        </w:rPr>
        <w:t>La francisque, hache de guerre des Francs à double fer, devient un symbole emblématique du régime de Vichy. Insigne personnel du maréchal Pétain, elle est peu à peu utilisée sur les documents officiels comme symbole de l’État français, avec la devise « Travail, Famille, Patrie ».</w:t>
      </w:r>
    </w:p>
    <w:p w14:paraId="6D134E17" w14:textId="77777777" w:rsidR="00D103A3" w:rsidRPr="00D103A3" w:rsidRDefault="00D103A3" w:rsidP="00D103A3">
      <w:pPr>
        <w:rPr>
          <w:sz w:val="20"/>
          <w:szCs w:val="20"/>
          <w:lang w:val="fr-FR"/>
        </w:rPr>
      </w:pPr>
      <w:r w:rsidRPr="00D103A3">
        <w:rPr>
          <w:sz w:val="20"/>
          <w:szCs w:val="20"/>
          <w:lang w:val="fr-FR"/>
        </w:rPr>
        <w:t>La Croix de Lorraine devient l’emblème de la France libre, en opposition à la croix gammée. Tirée des blasons des archevêques, la croix est surtout un clin d’œil à l’insigne du 507e régiment de chars que commandait le général de Gaulle entre 1937 et 1939.</w:t>
      </w:r>
    </w:p>
    <w:p w14:paraId="75A3C044" w14:textId="77777777" w:rsidR="00D103A3" w:rsidRPr="00D103A3" w:rsidRDefault="00D103A3" w:rsidP="00D103A3">
      <w:pPr>
        <w:rPr>
          <w:sz w:val="20"/>
          <w:szCs w:val="20"/>
          <w:lang w:val="fr-FR"/>
        </w:rPr>
      </w:pPr>
    </w:p>
    <w:p w14:paraId="63A3C1C2" w14:textId="06A350A1" w:rsidR="00D103A3" w:rsidRPr="00D103A3" w:rsidRDefault="00D103A3" w:rsidP="00D103A3">
      <w:pPr>
        <w:rPr>
          <w:b/>
          <w:bCs/>
          <w:sz w:val="20"/>
          <w:szCs w:val="20"/>
          <w:lang w:val="fr-FR"/>
        </w:rPr>
      </w:pPr>
      <w:r w:rsidRPr="00D103A3">
        <w:rPr>
          <w:b/>
          <w:bCs/>
          <w:sz w:val="20"/>
          <w:szCs w:val="20"/>
          <w:lang w:val="fr-FR"/>
        </w:rPr>
        <w:t>L’empire et l’amnésie républicaine</w:t>
      </w:r>
    </w:p>
    <w:p w14:paraId="1C4D0C8A" w14:textId="77777777" w:rsidR="00D103A3" w:rsidRPr="00D103A3" w:rsidRDefault="00D103A3" w:rsidP="00D103A3">
      <w:pPr>
        <w:rPr>
          <w:sz w:val="20"/>
          <w:szCs w:val="20"/>
          <w:lang w:val="fr-FR"/>
        </w:rPr>
      </w:pPr>
      <w:r w:rsidRPr="00D103A3">
        <w:rPr>
          <w:sz w:val="20"/>
          <w:szCs w:val="20"/>
          <w:lang w:val="fr-FR"/>
        </w:rPr>
        <w:t>Sous l’Empire napoléonien, de 1804 à 1815, les signes républicains sont progressivement effacés. Ils laissent place à un décorum tourné vers la guerre, l’armée et surtout l’effigie du Premier Consul.</w:t>
      </w:r>
    </w:p>
    <w:p w14:paraId="4159E27F" w14:textId="52E6D489" w:rsidR="00BD5B09" w:rsidRPr="00D103A3" w:rsidRDefault="00D103A3" w:rsidP="00D103A3">
      <w:pPr>
        <w:rPr>
          <w:sz w:val="20"/>
          <w:szCs w:val="20"/>
          <w:lang w:val="fr-FR"/>
        </w:rPr>
      </w:pPr>
      <w:r w:rsidRPr="00D103A3">
        <w:rPr>
          <w:sz w:val="20"/>
          <w:szCs w:val="20"/>
          <w:lang w:val="fr-FR"/>
        </w:rPr>
        <w:t>Le symbole du Premier Empire montre bien cette disparition des codes républicains, remplacés par des représentations impériales qui rappellent celles de la Monarchie. La Restauration poursuivra ce processus en retirant l’ensemble des signes politiques issus de la Révolution.</w:t>
      </w:r>
    </w:p>
    <w:p w14:paraId="3052E6B3" w14:textId="77777777" w:rsidR="00BD5B09" w:rsidRPr="00D103A3" w:rsidRDefault="00BD5B09" w:rsidP="00182B3E">
      <w:pPr>
        <w:rPr>
          <w:sz w:val="20"/>
          <w:szCs w:val="20"/>
          <w:lang w:val="fr-FR"/>
        </w:rPr>
      </w:pPr>
    </w:p>
    <w:p w14:paraId="77691C38" w14:textId="77777777" w:rsidR="00BD5B09" w:rsidRPr="00182B3E" w:rsidRDefault="00BD5B09" w:rsidP="00B960DE">
      <w:pPr>
        <w:pStyle w:val="Titre1"/>
      </w:pPr>
    </w:p>
    <w:sectPr w:rsidR="00BD5B09" w:rsidRPr="00182B3E" w:rsidSect="00F476D8">
      <w:headerReference w:type="default" r:id="rId10"/>
      <w:footerReference w:type="default" r:id="rId11"/>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8FB5" w14:textId="77777777" w:rsidR="00930F68" w:rsidRDefault="00930F68" w:rsidP="0079276E">
      <w:r>
        <w:separator/>
      </w:r>
    </w:p>
  </w:endnote>
  <w:endnote w:type="continuationSeparator" w:id="0">
    <w:p w14:paraId="3311159C" w14:textId="77777777" w:rsidR="00930F68" w:rsidRDefault="00930F6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2433792E"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5BCB173"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3295" w14:textId="77777777" w:rsidR="008443A5" w:rsidRPr="00290741" w:rsidRDefault="008443A5" w:rsidP="000301D7">
    <w:pPr>
      <w:pStyle w:val="PieddePage2"/>
    </w:pPr>
    <w:r w:rsidRPr="00290741">
      <w:t>Tél : 00 00 00 00</w:t>
    </w:r>
  </w:p>
  <w:sdt>
    <w:sdtPr>
      <w:rPr>
        <w:rStyle w:val="Numrodepage"/>
        <w:sz w:val="14"/>
        <w:szCs w:val="14"/>
      </w:rPr>
      <w:id w:val="330954886"/>
      <w:docPartObj>
        <w:docPartGallery w:val="Page Numbers (Bottom of Page)"/>
        <w:docPartUnique/>
      </w:docPartObj>
    </w:sdtPr>
    <w:sdtEndPr>
      <w:rPr>
        <w:rStyle w:val="Numrodepage"/>
      </w:rPr>
    </w:sdtEndPr>
    <w:sdtContent>
      <w:p w14:paraId="1AF86469" w14:textId="77777777" w:rsidR="008443A5" w:rsidRPr="008443A5" w:rsidRDefault="008443A5" w:rsidP="008443A5">
        <w:pPr>
          <w:pStyle w:val="Pieddepage"/>
          <w:framePr w:wrap="none" w:vAnchor="text" w:hAnchor="page" w:x="5906" w:y="18"/>
          <w:rPr>
            <w:rStyle w:val="Numrodepage"/>
            <w:sz w:val="14"/>
            <w:szCs w:val="14"/>
            <w:lang w:val="fr-FR"/>
          </w:rPr>
        </w:pPr>
        <w:r w:rsidRPr="008443A5">
          <w:rPr>
            <w:rStyle w:val="Numrodepage"/>
            <w:sz w:val="14"/>
            <w:szCs w:val="14"/>
          </w:rPr>
          <w:fldChar w:fldCharType="begin"/>
        </w:r>
        <w:r w:rsidRPr="008443A5">
          <w:rPr>
            <w:rStyle w:val="Numrodepage"/>
            <w:sz w:val="14"/>
            <w:szCs w:val="14"/>
            <w:lang w:val="fr-FR"/>
          </w:rPr>
          <w:instrText xml:space="preserve"> PAGE </w:instrText>
        </w:r>
        <w:r w:rsidRPr="008443A5">
          <w:rPr>
            <w:rStyle w:val="Numrodepage"/>
            <w:sz w:val="14"/>
            <w:szCs w:val="14"/>
          </w:rPr>
          <w:fldChar w:fldCharType="separate"/>
        </w:r>
        <w:r w:rsidRPr="008443A5">
          <w:rPr>
            <w:rStyle w:val="Numrodepage"/>
            <w:noProof/>
            <w:sz w:val="14"/>
            <w:szCs w:val="14"/>
            <w:lang w:val="fr-FR"/>
          </w:rPr>
          <w:t>2</w:t>
        </w:r>
        <w:r w:rsidRPr="008443A5">
          <w:rPr>
            <w:rStyle w:val="Numrodepage"/>
            <w:sz w:val="14"/>
            <w:szCs w:val="14"/>
          </w:rPr>
          <w:fldChar w:fldCharType="end"/>
        </w:r>
      </w:p>
    </w:sdtContent>
  </w:sdt>
  <w:p w14:paraId="4630C14C" w14:textId="77777777" w:rsidR="008443A5" w:rsidRPr="00290741" w:rsidRDefault="008443A5" w:rsidP="00F476D8">
    <w:pPr>
      <w:pStyle w:val="PieddePage2"/>
    </w:pPr>
    <w:r w:rsidRPr="00290741">
      <w:t xml:space="preserve">Mél : </w:t>
    </w:r>
    <w:hyperlink r:id="rId1">
      <w:r w:rsidRPr="00290741">
        <w:t>prénom.nom@pm.gouv.fr</w:t>
      </w:r>
    </w:hyperlink>
  </w:p>
  <w:p w14:paraId="57746071" w14:textId="77777777" w:rsidR="00C666FD" w:rsidRPr="00290741" w:rsidRDefault="00C666FD" w:rsidP="00C666FD">
    <w:pPr>
      <w:pStyle w:val="Pieddepage20"/>
    </w:pPr>
    <w:r>
      <w:rPr>
        <w:position w:val="1"/>
      </w:rPr>
      <w:t>00</w:t>
    </w:r>
    <w:r w:rsidRPr="00290741">
      <w:rPr>
        <w:position w:val="1"/>
      </w:rPr>
      <w:t xml:space="preserve">, </w:t>
    </w:r>
    <w:r>
      <w:rPr>
        <w:position w:val="1"/>
      </w:rPr>
      <w:t>Nom de la Rue</w:t>
    </w:r>
    <w:r w:rsidRPr="00290741">
      <w:rPr>
        <w:position w:val="1"/>
      </w:rPr>
      <w:t xml:space="preserve"> </w:t>
    </w:r>
    <w:r>
      <w:rPr>
        <w:position w:val="1"/>
      </w:rPr>
      <w:t>–</w:t>
    </w:r>
    <w:r w:rsidRPr="00290741">
      <w:rPr>
        <w:spacing w:val="-13"/>
        <w:position w:val="1"/>
      </w:rPr>
      <w:t xml:space="preserve"> </w:t>
    </w:r>
    <w:r>
      <w:rPr>
        <w:position w:val="1"/>
      </w:rPr>
      <w:t>00000 Ville Cedex 00</w:t>
    </w:r>
    <w:r w:rsidRPr="00290741">
      <w:rPr>
        <w:spacing w:val="-2"/>
        <w:position w:val="1"/>
      </w:rPr>
      <w:t xml:space="preserve"> </w:t>
    </w:r>
  </w:p>
  <w:p w14:paraId="26A4B51B" w14:textId="77777777" w:rsidR="008443A5" w:rsidRPr="00C666FD"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A299" w14:textId="77777777" w:rsidR="00930F68" w:rsidRDefault="00930F68" w:rsidP="0079276E">
      <w:r>
        <w:separator/>
      </w:r>
    </w:p>
  </w:footnote>
  <w:footnote w:type="continuationSeparator" w:id="0">
    <w:p w14:paraId="7E558B69" w14:textId="77777777" w:rsidR="00930F68" w:rsidRDefault="00930F6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1A2" w14:textId="77777777" w:rsidR="00992DBA" w:rsidRDefault="00E30C47" w:rsidP="008C5E2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0288" behindDoc="0" locked="0" layoutInCell="1" allowOverlap="1" wp14:anchorId="38D9B91B" wp14:editId="139F0DFD">
          <wp:simplePos x="0" y="0"/>
          <wp:positionH relativeFrom="column">
            <wp:posOffset>-189865</wp:posOffset>
          </wp:positionH>
          <wp:positionV relativeFrom="paragraph">
            <wp:posOffset>-20475</wp:posOffset>
          </wp:positionV>
          <wp:extent cx="1771200" cy="1040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4804C686" w14:textId="7457D212" w:rsidR="0079276E" w:rsidRDefault="0079276E">
    <w:pPr>
      <w:pStyle w:val="En-tte"/>
      <w:rPr>
        <w:b/>
        <w:bCs/>
        <w:sz w:val="24"/>
        <w:szCs w:val="24"/>
        <w:lang w:val="fr-FR"/>
      </w:rPr>
    </w:pPr>
  </w:p>
  <w:p w14:paraId="6822E224" w14:textId="1D4A649C" w:rsidR="00B960DE" w:rsidRDefault="00B960DE">
    <w:pPr>
      <w:pStyle w:val="En-tte"/>
      <w:rPr>
        <w:b/>
        <w:bCs/>
        <w:sz w:val="24"/>
        <w:szCs w:val="24"/>
        <w:lang w:val="fr-FR"/>
      </w:rPr>
    </w:pPr>
  </w:p>
  <w:p w14:paraId="4A026CDE" w14:textId="5A176354" w:rsidR="00B960DE" w:rsidRDefault="00B960DE">
    <w:pPr>
      <w:pStyle w:val="En-tte"/>
      <w:rPr>
        <w:b/>
        <w:bCs/>
        <w:sz w:val="24"/>
        <w:szCs w:val="24"/>
        <w:lang w:val="fr-FR"/>
      </w:rPr>
    </w:pPr>
  </w:p>
  <w:p w14:paraId="4E4A6FD2" w14:textId="77777777" w:rsidR="00B960DE" w:rsidRPr="00C666FD" w:rsidRDefault="00B960D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EB05"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E"/>
    <w:rsid w:val="0001014A"/>
    <w:rsid w:val="00011C63"/>
    <w:rsid w:val="000301D7"/>
    <w:rsid w:val="00041EC8"/>
    <w:rsid w:val="00077A96"/>
    <w:rsid w:val="000924D0"/>
    <w:rsid w:val="000A6C2F"/>
    <w:rsid w:val="00167430"/>
    <w:rsid w:val="001748BA"/>
    <w:rsid w:val="00182B3E"/>
    <w:rsid w:val="00211923"/>
    <w:rsid w:val="00247974"/>
    <w:rsid w:val="00290741"/>
    <w:rsid w:val="002973A4"/>
    <w:rsid w:val="002A6968"/>
    <w:rsid w:val="002C3085"/>
    <w:rsid w:val="003760FE"/>
    <w:rsid w:val="003F6BE9"/>
    <w:rsid w:val="00431A4F"/>
    <w:rsid w:val="00465630"/>
    <w:rsid w:val="004849D6"/>
    <w:rsid w:val="00590D9F"/>
    <w:rsid w:val="005C00FB"/>
    <w:rsid w:val="005F2E98"/>
    <w:rsid w:val="006542B1"/>
    <w:rsid w:val="00670C89"/>
    <w:rsid w:val="007059B4"/>
    <w:rsid w:val="0074724D"/>
    <w:rsid w:val="00774D33"/>
    <w:rsid w:val="0078108E"/>
    <w:rsid w:val="0079276E"/>
    <w:rsid w:val="007B2CAA"/>
    <w:rsid w:val="007E39E5"/>
    <w:rsid w:val="00807CCD"/>
    <w:rsid w:val="008202D7"/>
    <w:rsid w:val="00842A4A"/>
    <w:rsid w:val="008443A5"/>
    <w:rsid w:val="00851458"/>
    <w:rsid w:val="00865666"/>
    <w:rsid w:val="008C5E2F"/>
    <w:rsid w:val="00930F68"/>
    <w:rsid w:val="00986371"/>
    <w:rsid w:val="00992DBA"/>
    <w:rsid w:val="00996F94"/>
    <w:rsid w:val="009A7788"/>
    <w:rsid w:val="009F6BBF"/>
    <w:rsid w:val="00A30EA6"/>
    <w:rsid w:val="00A72F59"/>
    <w:rsid w:val="00A8461C"/>
    <w:rsid w:val="00A94300"/>
    <w:rsid w:val="00B017CF"/>
    <w:rsid w:val="00B55A05"/>
    <w:rsid w:val="00B611CC"/>
    <w:rsid w:val="00B623FE"/>
    <w:rsid w:val="00B960DE"/>
    <w:rsid w:val="00BD5B09"/>
    <w:rsid w:val="00C666FD"/>
    <w:rsid w:val="00C67312"/>
    <w:rsid w:val="00CD5E65"/>
    <w:rsid w:val="00D103A3"/>
    <w:rsid w:val="00D10C52"/>
    <w:rsid w:val="00D13006"/>
    <w:rsid w:val="00D262EC"/>
    <w:rsid w:val="00D63BA0"/>
    <w:rsid w:val="00D75B77"/>
    <w:rsid w:val="00D82179"/>
    <w:rsid w:val="00E13FDD"/>
    <w:rsid w:val="00E30C47"/>
    <w:rsid w:val="00E5641C"/>
    <w:rsid w:val="00E56942"/>
    <w:rsid w:val="00E75FC7"/>
    <w:rsid w:val="00E95F90"/>
    <w:rsid w:val="00EC49E5"/>
    <w:rsid w:val="00EF7D46"/>
    <w:rsid w:val="00F04A7E"/>
    <w:rsid w:val="00F476D8"/>
    <w:rsid w:val="00F67DE3"/>
    <w:rsid w:val="00FD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1FB1"/>
  <w15:docId w15:val="{20CAEC85-FDB7-8D47-AB9E-A49E78E4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DE"/>
    <w:rPr>
      <w:rFonts w:eastAsia="Arial"/>
    </w:rPr>
  </w:style>
  <w:style w:type="paragraph" w:styleId="Titre1">
    <w:name w:val="heading 1"/>
    <w:basedOn w:val="Normal"/>
    <w:next w:val="Corpsdetexte"/>
    <w:link w:val="Titre1Car"/>
    <w:uiPriority w:val="9"/>
    <w:qFormat/>
    <w:rsid w:val="00E56942"/>
    <w:pPr>
      <w:jc w:val="center"/>
      <w:outlineLvl w:val="0"/>
    </w:pPr>
    <w:rPr>
      <w:rFonts w:eastAsiaTheme="minorHAnsi"/>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rFonts w:eastAsiaTheme="minorHAnsi"/>
      <w:sz w:val="20"/>
      <w:szCs w:val="20"/>
      <w:lang w:val="fr-FR"/>
    </w:rPr>
  </w:style>
  <w:style w:type="paragraph" w:styleId="Paragraphedeliste">
    <w:name w:val="List Paragraph"/>
    <w:basedOn w:val="Normal"/>
    <w:uiPriority w:val="1"/>
    <w:pPr>
      <w:spacing w:before="2"/>
      <w:ind w:left="474" w:hanging="346"/>
    </w:pPr>
    <w:rPr>
      <w:rFonts w:eastAsiaTheme="minorHAnsi"/>
    </w:rPr>
  </w:style>
  <w:style w:type="paragraph" w:customStyle="1" w:styleId="TableParagraph">
    <w:name w:val="Table Paragraph"/>
    <w:basedOn w:val="Normal"/>
    <w:uiPriority w:val="1"/>
    <w:rPr>
      <w:rFonts w:eastAsiaTheme="minorHAnsi"/>
    </w:rPr>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rFonts w:eastAsiaTheme="minorHAnsi"/>
      <w:i/>
      <w:color w:val="231F20"/>
      <w:sz w:val="20"/>
      <w:lang w:val="fr-FR"/>
    </w:rPr>
  </w:style>
  <w:style w:type="paragraph" w:styleId="En-tte">
    <w:name w:val="header"/>
    <w:basedOn w:val="Normal"/>
    <w:link w:val="En-tteCar"/>
    <w:uiPriority w:val="99"/>
    <w:unhideWhenUsed/>
    <w:rsid w:val="0079276E"/>
    <w:pPr>
      <w:tabs>
        <w:tab w:val="center" w:pos="4513"/>
        <w:tab w:val="right" w:pos="9026"/>
      </w:tabs>
    </w:pPr>
    <w:rPr>
      <w:rFonts w:eastAsiaTheme="minorHAnsi"/>
    </w:r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rPr>
      <w:rFonts w:eastAsiaTheme="minorHAnsi"/>
    </w:r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rFonts w:eastAsiaTheme="minorHAnsi"/>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rFonts w:eastAsiaTheme="minorHAnsi"/>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rFonts w:eastAsiaTheme="minorHAnsi"/>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styleId="Mentionnonrsolue">
    <w:name w:val="Unresolved Mention"/>
    <w:basedOn w:val="Policepardfaut"/>
    <w:uiPriority w:val="99"/>
    <w:semiHidden/>
    <w:unhideWhenUsed/>
    <w:rsid w:val="003F6BE9"/>
    <w:rPr>
      <w:color w:val="605E5C"/>
      <w:shd w:val="clear" w:color="auto" w:fill="E1DFDD"/>
    </w:rPr>
  </w:style>
  <w:style w:type="paragraph" w:styleId="Titre">
    <w:name w:val="Title"/>
    <w:basedOn w:val="Normal"/>
    <w:link w:val="TitreCar"/>
    <w:uiPriority w:val="10"/>
    <w:qFormat/>
    <w:rsid w:val="00B960DE"/>
    <w:pPr>
      <w:spacing w:before="24"/>
      <w:ind w:left="113"/>
    </w:pPr>
    <w:rPr>
      <w:b/>
      <w:bCs/>
      <w:sz w:val="44"/>
      <w:szCs w:val="44"/>
    </w:rPr>
  </w:style>
  <w:style w:type="character" w:customStyle="1" w:styleId="TitreCar">
    <w:name w:val="Titre Car"/>
    <w:basedOn w:val="Policepardfaut"/>
    <w:link w:val="Titre"/>
    <w:uiPriority w:val="10"/>
    <w:rsid w:val="00B960DE"/>
    <w:rPr>
      <w:rFonts w:eastAsia="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233;nom.nom@pm.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billet/Desktop/MARQUE/Ressources%20marque%20E&#769;tat/05_Traitement%20de%20texte_ministe&#768;re/GOUVERNEMENT/Courrier%20-%20Gouvernement.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C98C-AE10-F343-9607-552108AC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 Gouvernement.dotx</Template>
  <TotalTime>1</TotalTime>
  <Pages>1</Pages>
  <Words>385</Words>
  <Characters>2119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Microsoft Office User</cp:lastModifiedBy>
  <cp:revision>2</cp:revision>
  <dcterms:created xsi:type="dcterms:W3CDTF">2021-09-15T12:37:00Z</dcterms:created>
  <dcterms:modified xsi:type="dcterms:W3CDTF">2021-09-15T12:37:00Z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