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3D4198A3" w:rsidR="00B960DE" w:rsidRPr="00182B3E" w:rsidRDefault="00B960DE" w:rsidP="00B960DE">
      <w:pPr>
        <w:rPr>
          <w:b/>
          <w:bCs/>
          <w:color w:val="000091" w:themeColor="background2"/>
          <w:lang w:val="fr-FR"/>
        </w:rPr>
      </w:pPr>
      <w:r w:rsidRPr="00182B3E">
        <w:rPr>
          <w:b/>
          <w:bCs/>
          <w:color w:val="000091" w:themeColor="background2"/>
          <w:lang w:val="fr-FR"/>
        </w:rPr>
        <w:t>Audioguide n°</w:t>
      </w:r>
      <w:r w:rsidR="00F76B71">
        <w:rPr>
          <w:b/>
          <w:bCs/>
          <w:color w:val="000091" w:themeColor="background2"/>
          <w:lang w:val="fr-FR"/>
        </w:rPr>
        <w:t>1</w:t>
      </w:r>
      <w:r w:rsidR="00116234">
        <w:rPr>
          <w:b/>
          <w:bCs/>
          <w:color w:val="000091" w:themeColor="background2"/>
          <w:lang w:val="fr-FR"/>
        </w:rPr>
        <w:t>4</w:t>
      </w:r>
    </w:p>
    <w:p w14:paraId="7A5CECFE" w14:textId="77777777" w:rsidR="00182B3E" w:rsidRPr="00D103A3" w:rsidRDefault="00182B3E" w:rsidP="00182B3E">
      <w:pPr>
        <w:rPr>
          <w:sz w:val="20"/>
          <w:szCs w:val="20"/>
          <w:lang w:val="fr-FR"/>
        </w:rPr>
      </w:pPr>
    </w:p>
    <w:p w14:paraId="1F27C016" w14:textId="72DEE762" w:rsidR="00CB1400" w:rsidRPr="00CB1400" w:rsidRDefault="00115BCD" w:rsidP="00CB1400">
      <w:pPr>
        <w:rPr>
          <w:b/>
          <w:bCs/>
          <w:sz w:val="20"/>
          <w:szCs w:val="20"/>
          <w:lang w:val="fr-FR"/>
        </w:rPr>
      </w:pPr>
      <w:r>
        <w:rPr>
          <w:b/>
          <w:bCs/>
          <w:sz w:val="20"/>
          <w:szCs w:val="20"/>
          <w:lang w:val="fr-FR"/>
        </w:rPr>
        <w:t xml:space="preserve">Quand </w:t>
      </w:r>
      <w:r w:rsidR="00116234">
        <w:rPr>
          <w:b/>
          <w:bCs/>
          <w:sz w:val="20"/>
          <w:szCs w:val="20"/>
          <w:lang w:val="fr-FR"/>
        </w:rPr>
        <w:t>l’État se (</w:t>
      </w:r>
      <w:proofErr w:type="spellStart"/>
      <w:r w:rsidR="00116234">
        <w:rPr>
          <w:b/>
          <w:bCs/>
          <w:sz w:val="20"/>
          <w:szCs w:val="20"/>
          <w:lang w:val="fr-FR"/>
        </w:rPr>
        <w:t>re</w:t>
      </w:r>
      <w:proofErr w:type="spellEnd"/>
      <w:r w:rsidR="00116234">
        <w:rPr>
          <w:b/>
          <w:bCs/>
          <w:sz w:val="20"/>
          <w:szCs w:val="20"/>
          <w:lang w:val="fr-FR"/>
        </w:rPr>
        <w:t>)présente</w:t>
      </w:r>
    </w:p>
    <w:p w14:paraId="5300D9B1" w14:textId="77777777" w:rsidR="00CB1400" w:rsidRPr="00CB1400" w:rsidRDefault="00CB1400" w:rsidP="00CB1400">
      <w:pPr>
        <w:rPr>
          <w:sz w:val="20"/>
          <w:szCs w:val="20"/>
          <w:lang w:val="fr-FR"/>
        </w:rPr>
      </w:pPr>
    </w:p>
    <w:p w14:paraId="1CD09E55" w14:textId="77777777" w:rsidR="00116234" w:rsidRPr="00116234" w:rsidRDefault="00116234" w:rsidP="00116234">
      <w:pPr>
        <w:rPr>
          <w:sz w:val="20"/>
          <w:szCs w:val="20"/>
          <w:lang w:val="fr-FR"/>
        </w:rPr>
      </w:pPr>
      <w:r w:rsidRPr="00116234">
        <w:rPr>
          <w:sz w:val="20"/>
          <w:szCs w:val="20"/>
          <w:lang w:val="fr-FR"/>
        </w:rPr>
        <w:t>L’État cherche à rendre son action plus lisible auprès des citoyens.</w:t>
      </w:r>
    </w:p>
    <w:p w14:paraId="0A56F36E" w14:textId="77777777" w:rsidR="00116234" w:rsidRPr="00116234" w:rsidRDefault="00116234" w:rsidP="00116234">
      <w:pPr>
        <w:rPr>
          <w:sz w:val="20"/>
          <w:szCs w:val="20"/>
          <w:lang w:val="fr-FR"/>
        </w:rPr>
      </w:pPr>
    </w:p>
    <w:p w14:paraId="44C5808D" w14:textId="77777777" w:rsidR="00116234" w:rsidRPr="00116234" w:rsidRDefault="00116234" w:rsidP="00116234">
      <w:pPr>
        <w:rPr>
          <w:sz w:val="20"/>
          <w:szCs w:val="20"/>
          <w:lang w:val="fr-FR"/>
        </w:rPr>
      </w:pPr>
      <w:r w:rsidRPr="00116234">
        <w:rPr>
          <w:sz w:val="20"/>
          <w:szCs w:val="20"/>
          <w:lang w:val="fr-FR"/>
        </w:rPr>
        <w:t>Au niveau des ministères, des délégations interministérielles, des services publics… L’État communique sur ses nombreuses actions. Pourtant, les citoyens ont souvent exprimé des difficultés à identifier et à comprendre son fonctionnement et ses démarches.</w:t>
      </w:r>
    </w:p>
    <w:p w14:paraId="5201120D" w14:textId="77777777" w:rsidR="00116234" w:rsidRPr="00116234" w:rsidRDefault="00116234" w:rsidP="00116234">
      <w:pPr>
        <w:rPr>
          <w:sz w:val="20"/>
          <w:szCs w:val="20"/>
          <w:lang w:val="fr-FR"/>
        </w:rPr>
      </w:pPr>
    </w:p>
    <w:p w14:paraId="0E1E572A" w14:textId="77777777" w:rsidR="00116234" w:rsidRPr="00116234" w:rsidRDefault="00116234" w:rsidP="00116234">
      <w:pPr>
        <w:rPr>
          <w:sz w:val="20"/>
          <w:szCs w:val="20"/>
          <w:lang w:val="fr-FR"/>
        </w:rPr>
      </w:pPr>
      <w:r w:rsidRPr="00116234">
        <w:rPr>
          <w:sz w:val="20"/>
          <w:szCs w:val="20"/>
          <w:lang w:val="fr-FR"/>
        </w:rPr>
        <w:t>En 1999, l’État repense les fondamentaux de son identité et de sa communication pour permettre aux Français de mieux cerner l’action publique. Ce travail est poursuivi et prolongé 20 ans plus tard.</w:t>
      </w:r>
    </w:p>
    <w:p w14:paraId="3D02A2F3" w14:textId="77777777" w:rsidR="00116234" w:rsidRPr="00116234" w:rsidRDefault="00116234" w:rsidP="00116234">
      <w:pPr>
        <w:rPr>
          <w:sz w:val="20"/>
          <w:szCs w:val="20"/>
          <w:lang w:val="fr-FR"/>
        </w:rPr>
      </w:pPr>
    </w:p>
    <w:p w14:paraId="0377EE0A" w14:textId="283A4BD0" w:rsidR="00116234" w:rsidRPr="00116234" w:rsidRDefault="00116234" w:rsidP="00116234">
      <w:pPr>
        <w:rPr>
          <w:b/>
          <w:bCs/>
          <w:sz w:val="20"/>
          <w:szCs w:val="20"/>
          <w:lang w:val="fr-FR"/>
        </w:rPr>
      </w:pPr>
      <w:r w:rsidRPr="00116234">
        <w:rPr>
          <w:b/>
          <w:bCs/>
          <w:sz w:val="20"/>
          <w:szCs w:val="20"/>
          <w:lang w:val="fr-FR"/>
        </w:rPr>
        <w:t xml:space="preserve">Qui mieux que </w:t>
      </w:r>
      <w:r>
        <w:rPr>
          <w:b/>
          <w:bCs/>
          <w:sz w:val="20"/>
          <w:szCs w:val="20"/>
          <w:lang w:val="fr-FR"/>
        </w:rPr>
        <w:t>M</w:t>
      </w:r>
      <w:r w:rsidRPr="00116234">
        <w:rPr>
          <w:b/>
          <w:bCs/>
          <w:sz w:val="20"/>
          <w:szCs w:val="20"/>
          <w:lang w:val="fr-FR"/>
        </w:rPr>
        <w:t>arianne ?</w:t>
      </w:r>
    </w:p>
    <w:p w14:paraId="2AF3A537" w14:textId="77777777" w:rsidR="00116234" w:rsidRPr="00116234" w:rsidRDefault="00116234" w:rsidP="00116234">
      <w:pPr>
        <w:rPr>
          <w:sz w:val="20"/>
          <w:szCs w:val="20"/>
          <w:lang w:val="fr-FR"/>
        </w:rPr>
      </w:pPr>
      <w:r w:rsidRPr="00116234">
        <w:rPr>
          <w:sz w:val="20"/>
          <w:szCs w:val="20"/>
          <w:lang w:val="fr-FR"/>
        </w:rPr>
        <w:t>En 1999, pour la première fois, l’État se dote d’un logo et d’une charte graphique.</w:t>
      </w:r>
    </w:p>
    <w:p w14:paraId="6015EF91" w14:textId="77777777" w:rsidR="00116234" w:rsidRPr="00116234" w:rsidRDefault="00116234" w:rsidP="00116234">
      <w:pPr>
        <w:rPr>
          <w:sz w:val="20"/>
          <w:szCs w:val="20"/>
          <w:lang w:val="fr-FR"/>
        </w:rPr>
      </w:pPr>
      <w:r w:rsidRPr="00116234">
        <w:rPr>
          <w:sz w:val="20"/>
          <w:szCs w:val="20"/>
          <w:lang w:val="fr-FR"/>
        </w:rPr>
        <w:t>Il faut alors choisir des signes fédérateurs… Qui d’autre que Marianne pour incarner l’État ? Plusieurs dessins sont réalisés avant d’aboutir au choix final : une représentation de profil tournée vers la droite et regardant vers l’avenir est privilégiée. Créé en 1999, le bloc-marque Marianne sur fond tricolore est devenu l’un des symboles de la République française et un point de repère pour tous les citoyens.</w:t>
      </w:r>
    </w:p>
    <w:p w14:paraId="44947D8B" w14:textId="77777777" w:rsidR="00116234" w:rsidRPr="00116234" w:rsidRDefault="00116234" w:rsidP="00116234">
      <w:pPr>
        <w:rPr>
          <w:sz w:val="20"/>
          <w:szCs w:val="20"/>
          <w:lang w:val="fr-FR"/>
        </w:rPr>
      </w:pPr>
    </w:p>
    <w:p w14:paraId="331FE35F" w14:textId="0D5A29B2" w:rsidR="00116234" w:rsidRPr="00116234" w:rsidRDefault="00116234" w:rsidP="00116234">
      <w:pPr>
        <w:rPr>
          <w:b/>
          <w:bCs/>
          <w:sz w:val="20"/>
          <w:szCs w:val="20"/>
          <w:lang w:val="fr-FR"/>
        </w:rPr>
      </w:pPr>
      <w:r w:rsidRPr="00116234">
        <w:rPr>
          <w:b/>
          <w:bCs/>
          <w:sz w:val="20"/>
          <w:szCs w:val="20"/>
          <w:lang w:val="fr-FR"/>
        </w:rPr>
        <w:t>Les métamorphoses de Marianne</w:t>
      </w:r>
    </w:p>
    <w:p w14:paraId="69627CCA" w14:textId="77777777" w:rsidR="00116234" w:rsidRPr="00116234" w:rsidRDefault="00116234" w:rsidP="00116234">
      <w:pPr>
        <w:rPr>
          <w:sz w:val="20"/>
          <w:szCs w:val="20"/>
          <w:lang w:val="fr-FR"/>
        </w:rPr>
      </w:pPr>
      <w:r w:rsidRPr="00116234">
        <w:rPr>
          <w:sz w:val="20"/>
          <w:szCs w:val="20"/>
          <w:lang w:val="fr-FR"/>
        </w:rPr>
        <w:t>Entre 1999 et 2020, de nombreux acteurs d’État continuent de développer leurs propres identités. Certains ministères associent par exemple leur propre logo à l’identité graphique de l’État. Les blocs-marque finissent par être très différents les uns des autres et cela alimente un risque de confusion. D’autant plus que Marianne est là encore plébiscitée par de nombreuses entités liées à l’État et mise en scène de façon chaque fois différente.</w:t>
      </w:r>
    </w:p>
    <w:p w14:paraId="025A43F4" w14:textId="77777777" w:rsidR="00116234" w:rsidRPr="00116234" w:rsidRDefault="00116234" w:rsidP="00116234">
      <w:pPr>
        <w:rPr>
          <w:sz w:val="20"/>
          <w:szCs w:val="20"/>
          <w:lang w:val="fr-FR"/>
        </w:rPr>
      </w:pPr>
    </w:p>
    <w:p w14:paraId="43D5118D" w14:textId="0F8AB241" w:rsidR="00116234" w:rsidRPr="00116234" w:rsidRDefault="00116234" w:rsidP="00116234">
      <w:pPr>
        <w:rPr>
          <w:b/>
          <w:bCs/>
          <w:sz w:val="20"/>
          <w:szCs w:val="20"/>
          <w:lang w:val="fr-FR"/>
        </w:rPr>
      </w:pPr>
      <w:r w:rsidRPr="00116234">
        <w:rPr>
          <w:b/>
          <w:bCs/>
          <w:sz w:val="20"/>
          <w:szCs w:val="20"/>
          <w:lang w:val="fr-FR"/>
        </w:rPr>
        <w:t>(</w:t>
      </w:r>
      <w:proofErr w:type="spellStart"/>
      <w:r w:rsidRPr="00116234">
        <w:rPr>
          <w:b/>
          <w:bCs/>
          <w:sz w:val="20"/>
          <w:szCs w:val="20"/>
          <w:lang w:val="fr-FR"/>
        </w:rPr>
        <w:t>Re</w:t>
      </w:r>
      <w:proofErr w:type="spellEnd"/>
      <w:r w:rsidRPr="00116234">
        <w:rPr>
          <w:b/>
          <w:bCs/>
          <w:sz w:val="20"/>
          <w:szCs w:val="20"/>
          <w:lang w:val="fr-FR"/>
        </w:rPr>
        <w:t>)marquer l’action de l’</w:t>
      </w:r>
      <w:r>
        <w:rPr>
          <w:b/>
          <w:bCs/>
          <w:sz w:val="20"/>
          <w:szCs w:val="20"/>
          <w:lang w:val="fr-FR"/>
        </w:rPr>
        <w:t>É</w:t>
      </w:r>
      <w:r w:rsidRPr="00116234">
        <w:rPr>
          <w:b/>
          <w:bCs/>
          <w:sz w:val="20"/>
          <w:szCs w:val="20"/>
          <w:lang w:val="fr-FR"/>
        </w:rPr>
        <w:t>tat</w:t>
      </w:r>
    </w:p>
    <w:p w14:paraId="600F15A1" w14:textId="77777777" w:rsidR="00116234" w:rsidRPr="00116234" w:rsidRDefault="00116234" w:rsidP="00116234">
      <w:pPr>
        <w:rPr>
          <w:sz w:val="20"/>
          <w:szCs w:val="20"/>
          <w:lang w:val="fr-FR"/>
        </w:rPr>
      </w:pPr>
      <w:r w:rsidRPr="00116234">
        <w:rPr>
          <w:sz w:val="20"/>
          <w:szCs w:val="20"/>
          <w:lang w:val="fr-FR"/>
        </w:rPr>
        <w:t>En 2020, 21 ans après la première charte graphique, l’État repense son identité visuelle pour être mieux reconnaissable et plus modulable.</w:t>
      </w:r>
    </w:p>
    <w:p w14:paraId="68E6FB4F" w14:textId="3DBD9F4D" w:rsidR="00116234" w:rsidRDefault="00116234" w:rsidP="00116234">
      <w:pPr>
        <w:rPr>
          <w:sz w:val="20"/>
          <w:szCs w:val="20"/>
          <w:lang w:val="fr-FR"/>
        </w:rPr>
      </w:pPr>
      <w:r w:rsidRPr="00116234">
        <w:rPr>
          <w:sz w:val="20"/>
          <w:szCs w:val="20"/>
          <w:lang w:val="fr-FR"/>
        </w:rPr>
        <w:t>Il s’appuie sur les emblèmes incontournables de la République française. Marianne voit sa silhouette dynamisée. Une nouvelle typographie est spécialement développée pour rendre l’intitulé plus visible. Enfin, la devise républicaine est disposée à la verticale et bénéficie d’un nouveau lettrage. Cette fois, le dispositif graphique permet à chaque institution de conserver son identité tout en étant associée à l’État.</w:t>
      </w:r>
    </w:p>
    <w:p w14:paraId="4C7542A9" w14:textId="498B1BFF" w:rsidR="00116234" w:rsidRDefault="00116234" w:rsidP="00115BCD">
      <w:pPr>
        <w:rPr>
          <w:sz w:val="20"/>
          <w:szCs w:val="20"/>
          <w:lang w:val="fr-FR"/>
        </w:rPr>
      </w:pPr>
    </w:p>
    <w:p w14:paraId="78BDDC40" w14:textId="26B7828E" w:rsidR="00116234" w:rsidRDefault="00116234" w:rsidP="00115BCD">
      <w:pPr>
        <w:rPr>
          <w:sz w:val="20"/>
          <w:szCs w:val="20"/>
          <w:lang w:val="fr-FR"/>
        </w:rPr>
      </w:pPr>
    </w:p>
    <w:p w14:paraId="69184C70" w14:textId="64395022" w:rsidR="00116234" w:rsidRDefault="00116234" w:rsidP="00115BCD">
      <w:pPr>
        <w:rPr>
          <w:sz w:val="20"/>
          <w:szCs w:val="20"/>
          <w:lang w:val="fr-FR"/>
        </w:rPr>
      </w:pPr>
    </w:p>
    <w:p w14:paraId="05C41454" w14:textId="4E4C842D" w:rsidR="00116234" w:rsidRDefault="00116234" w:rsidP="00115BCD">
      <w:pPr>
        <w:rPr>
          <w:sz w:val="20"/>
          <w:szCs w:val="20"/>
          <w:lang w:val="fr-FR"/>
        </w:rPr>
      </w:pPr>
    </w:p>
    <w:p w14:paraId="68778BE3" w14:textId="4D3E5FA0" w:rsidR="00116234" w:rsidRDefault="00116234" w:rsidP="00115BCD">
      <w:pPr>
        <w:rPr>
          <w:sz w:val="20"/>
          <w:szCs w:val="20"/>
          <w:lang w:val="fr-FR"/>
        </w:rPr>
      </w:pPr>
    </w:p>
    <w:p w14:paraId="6CE766FF" w14:textId="046737BB" w:rsidR="00116234" w:rsidRDefault="00116234" w:rsidP="00115BCD">
      <w:pPr>
        <w:rPr>
          <w:sz w:val="20"/>
          <w:szCs w:val="20"/>
          <w:lang w:val="fr-FR"/>
        </w:rPr>
      </w:pPr>
    </w:p>
    <w:p w14:paraId="06D1B46A" w14:textId="3602F1D1" w:rsidR="00116234" w:rsidRDefault="00116234" w:rsidP="00115BCD">
      <w:pPr>
        <w:rPr>
          <w:sz w:val="20"/>
          <w:szCs w:val="20"/>
          <w:lang w:val="fr-FR"/>
        </w:rPr>
      </w:pPr>
    </w:p>
    <w:p w14:paraId="2A03B851" w14:textId="6BC2C9A6" w:rsidR="00116234" w:rsidRDefault="00116234" w:rsidP="00115BCD">
      <w:pPr>
        <w:rPr>
          <w:sz w:val="20"/>
          <w:szCs w:val="20"/>
          <w:lang w:val="fr-FR"/>
        </w:rPr>
      </w:pPr>
    </w:p>
    <w:p w14:paraId="2ABED76C" w14:textId="765B1649" w:rsidR="00116234" w:rsidRDefault="00116234" w:rsidP="00115BCD">
      <w:pPr>
        <w:rPr>
          <w:sz w:val="20"/>
          <w:szCs w:val="20"/>
          <w:lang w:val="fr-FR"/>
        </w:rPr>
      </w:pPr>
    </w:p>
    <w:p w14:paraId="1F72D65F" w14:textId="1396CB10" w:rsidR="00116234" w:rsidRDefault="00116234" w:rsidP="00115BCD">
      <w:pPr>
        <w:rPr>
          <w:sz w:val="20"/>
          <w:szCs w:val="20"/>
          <w:lang w:val="fr-FR"/>
        </w:rPr>
      </w:pPr>
    </w:p>
    <w:p w14:paraId="1AF8E268" w14:textId="59126F18" w:rsidR="00116234" w:rsidRDefault="00116234" w:rsidP="00115BCD">
      <w:pPr>
        <w:rPr>
          <w:sz w:val="20"/>
          <w:szCs w:val="20"/>
          <w:lang w:val="fr-FR"/>
        </w:rPr>
      </w:pPr>
    </w:p>
    <w:p w14:paraId="333CD837" w14:textId="403F906B" w:rsidR="00116234" w:rsidRDefault="00116234" w:rsidP="00115BCD">
      <w:pPr>
        <w:rPr>
          <w:sz w:val="20"/>
          <w:szCs w:val="20"/>
          <w:lang w:val="fr-FR"/>
        </w:rPr>
      </w:pPr>
    </w:p>
    <w:p w14:paraId="61943BED" w14:textId="0ECBD1E3" w:rsidR="00116234" w:rsidRDefault="00116234" w:rsidP="00115BCD">
      <w:pPr>
        <w:rPr>
          <w:sz w:val="20"/>
          <w:szCs w:val="20"/>
          <w:lang w:val="fr-FR"/>
        </w:rPr>
      </w:pPr>
    </w:p>
    <w:p w14:paraId="3C3F9C53" w14:textId="6F5CF218" w:rsidR="00116234" w:rsidRDefault="00116234" w:rsidP="00115BCD">
      <w:pPr>
        <w:rPr>
          <w:sz w:val="20"/>
          <w:szCs w:val="20"/>
          <w:lang w:val="fr-FR"/>
        </w:rPr>
      </w:pPr>
    </w:p>
    <w:p w14:paraId="5BC069AB" w14:textId="7FA2B523" w:rsidR="00116234" w:rsidRDefault="00116234" w:rsidP="00115BCD">
      <w:pPr>
        <w:rPr>
          <w:sz w:val="20"/>
          <w:szCs w:val="20"/>
          <w:lang w:val="fr-FR"/>
        </w:rPr>
      </w:pPr>
    </w:p>
    <w:p w14:paraId="200BEEC3" w14:textId="04D369D0" w:rsidR="00116234" w:rsidRDefault="00116234" w:rsidP="00115BCD">
      <w:pPr>
        <w:rPr>
          <w:sz w:val="20"/>
          <w:szCs w:val="20"/>
          <w:lang w:val="fr-FR"/>
        </w:rPr>
      </w:pPr>
    </w:p>
    <w:p w14:paraId="3D8F022A" w14:textId="3252E88A" w:rsidR="00116234" w:rsidRDefault="00116234" w:rsidP="00115BCD">
      <w:pPr>
        <w:rPr>
          <w:sz w:val="20"/>
          <w:szCs w:val="20"/>
          <w:lang w:val="fr-FR"/>
        </w:rPr>
      </w:pPr>
    </w:p>
    <w:p w14:paraId="31AFC376" w14:textId="77777777" w:rsidR="00116234" w:rsidRPr="00182B3E" w:rsidRDefault="00116234" w:rsidP="00115BCD">
      <w:pPr>
        <w:rPr>
          <w:lang w:val="fr-FR"/>
        </w:rPr>
      </w:pPr>
    </w:p>
    <w:sectPr w:rsidR="00116234"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AC07" w14:textId="77777777" w:rsidR="0055323B" w:rsidRDefault="0055323B" w:rsidP="0079276E">
      <w:r>
        <w:separator/>
      </w:r>
    </w:p>
  </w:endnote>
  <w:endnote w:type="continuationSeparator" w:id="0">
    <w:p w14:paraId="3412C74D" w14:textId="77777777" w:rsidR="0055323B" w:rsidRDefault="0055323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09AB" w14:textId="77777777" w:rsidR="0055323B" w:rsidRDefault="0055323B" w:rsidP="0079276E">
      <w:r>
        <w:separator/>
      </w:r>
    </w:p>
  </w:footnote>
  <w:footnote w:type="continuationSeparator" w:id="0">
    <w:p w14:paraId="4EC3F011" w14:textId="77777777" w:rsidR="0055323B" w:rsidRDefault="0055323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0FA0"/>
    <w:rsid w:val="000A6C2F"/>
    <w:rsid w:val="00115BCD"/>
    <w:rsid w:val="00116234"/>
    <w:rsid w:val="00124A57"/>
    <w:rsid w:val="00167430"/>
    <w:rsid w:val="001748BA"/>
    <w:rsid w:val="00182B3E"/>
    <w:rsid w:val="00211923"/>
    <w:rsid w:val="00247974"/>
    <w:rsid w:val="00290741"/>
    <w:rsid w:val="002973A4"/>
    <w:rsid w:val="002A6968"/>
    <w:rsid w:val="002C3085"/>
    <w:rsid w:val="003760FE"/>
    <w:rsid w:val="003F6BE9"/>
    <w:rsid w:val="00431A4F"/>
    <w:rsid w:val="00465630"/>
    <w:rsid w:val="004849D6"/>
    <w:rsid w:val="0055323B"/>
    <w:rsid w:val="00590D9F"/>
    <w:rsid w:val="005C00FB"/>
    <w:rsid w:val="005F2E98"/>
    <w:rsid w:val="006542B1"/>
    <w:rsid w:val="00670C89"/>
    <w:rsid w:val="007059B4"/>
    <w:rsid w:val="0074724D"/>
    <w:rsid w:val="007638C3"/>
    <w:rsid w:val="00774D33"/>
    <w:rsid w:val="0078108E"/>
    <w:rsid w:val="0079276E"/>
    <w:rsid w:val="007B2CAA"/>
    <w:rsid w:val="007E39E5"/>
    <w:rsid w:val="00807CCD"/>
    <w:rsid w:val="008202D7"/>
    <w:rsid w:val="00842A4A"/>
    <w:rsid w:val="008443A5"/>
    <w:rsid w:val="00851458"/>
    <w:rsid w:val="00865666"/>
    <w:rsid w:val="008C5E2F"/>
    <w:rsid w:val="00986371"/>
    <w:rsid w:val="00992DBA"/>
    <w:rsid w:val="00996F94"/>
    <w:rsid w:val="009A7788"/>
    <w:rsid w:val="009F6BBF"/>
    <w:rsid w:val="00A16279"/>
    <w:rsid w:val="00A30EA6"/>
    <w:rsid w:val="00A72F59"/>
    <w:rsid w:val="00A81120"/>
    <w:rsid w:val="00A8461C"/>
    <w:rsid w:val="00A94300"/>
    <w:rsid w:val="00B017CF"/>
    <w:rsid w:val="00B55A05"/>
    <w:rsid w:val="00B611CC"/>
    <w:rsid w:val="00B623FE"/>
    <w:rsid w:val="00B960DE"/>
    <w:rsid w:val="00BA0D33"/>
    <w:rsid w:val="00BD5B09"/>
    <w:rsid w:val="00C666FD"/>
    <w:rsid w:val="00C67312"/>
    <w:rsid w:val="00CB1400"/>
    <w:rsid w:val="00CD5E65"/>
    <w:rsid w:val="00D103A3"/>
    <w:rsid w:val="00D10C52"/>
    <w:rsid w:val="00D13006"/>
    <w:rsid w:val="00D262EC"/>
    <w:rsid w:val="00D63BA0"/>
    <w:rsid w:val="00D75B77"/>
    <w:rsid w:val="00D82179"/>
    <w:rsid w:val="00E13FDD"/>
    <w:rsid w:val="00E30C47"/>
    <w:rsid w:val="00E5641C"/>
    <w:rsid w:val="00E56942"/>
    <w:rsid w:val="00E75FC7"/>
    <w:rsid w:val="00E8040A"/>
    <w:rsid w:val="00E95F90"/>
    <w:rsid w:val="00EC49E5"/>
    <w:rsid w:val="00EF7D46"/>
    <w:rsid w:val="00F04A7E"/>
    <w:rsid w:val="00F476D8"/>
    <w:rsid w:val="00F67DE3"/>
    <w:rsid w:val="00F76B71"/>
    <w:rsid w:val="00FD5ABC"/>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1</TotalTime>
  <Pages>1</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2021-09-15T12:53:00Z</dcterms:created>
  <dcterms:modified xsi:type="dcterms:W3CDTF">2021-09-15T12:53:00Z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